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8B" w:rsidRDefault="003B208B">
      <w:pPr>
        <w:pStyle w:val="Heading2"/>
        <w:rPr>
          <w:rFonts w:ascii="CG Times" w:hAnsi="CG Times"/>
          <w:szCs w:val="24"/>
        </w:rPr>
      </w:pPr>
      <w:bookmarkStart w:id="0" w:name="_GoBack"/>
      <w:bookmarkEnd w:id="0"/>
    </w:p>
    <w:p w:rsidR="003B208B" w:rsidRDefault="003B208B">
      <w:pPr>
        <w:pStyle w:val="Heading2"/>
        <w:rPr>
          <w:rFonts w:ascii="CG Times" w:hAnsi="CG Times"/>
          <w:szCs w:val="24"/>
        </w:rPr>
      </w:pPr>
    </w:p>
    <w:p w:rsidR="003B208B" w:rsidRDefault="003B208B">
      <w:pPr>
        <w:pStyle w:val="Heading2"/>
        <w:rPr>
          <w:rFonts w:ascii="CG Times" w:hAnsi="CG Times"/>
          <w:szCs w:val="24"/>
        </w:rPr>
      </w:pPr>
    </w:p>
    <w:p w:rsidR="003B208B" w:rsidRDefault="003B208B">
      <w:pPr>
        <w:pStyle w:val="Heading2"/>
        <w:rPr>
          <w:rFonts w:ascii="CG Times" w:hAnsi="CG Times"/>
          <w:szCs w:val="24"/>
        </w:rPr>
      </w:pPr>
    </w:p>
    <w:p w:rsidR="003B208B" w:rsidRDefault="003B208B">
      <w:pPr>
        <w:pStyle w:val="Heading2"/>
        <w:rPr>
          <w:sz w:val="32"/>
          <w:szCs w:val="38"/>
        </w:rPr>
      </w:pPr>
      <w:r>
        <w:rPr>
          <w:sz w:val="32"/>
          <w:szCs w:val="38"/>
        </w:rPr>
        <w:t>TABLES</w:t>
      </w:r>
    </w:p>
    <w:p w:rsidR="003B208B" w:rsidRDefault="003B208B">
      <w:pPr>
        <w:jc w:val="center"/>
        <w:rPr>
          <w:rFonts w:ascii="CG Times" w:hAnsi="CG Times" w:cs="CG Times"/>
        </w:rPr>
      </w:pPr>
    </w:p>
    <w:p w:rsidR="003B208B" w:rsidRDefault="003B208B">
      <w:pPr>
        <w:pStyle w:val="Heading1"/>
        <w:rPr>
          <w:rFonts w:cs="CG Times"/>
          <w:sz w:val="24"/>
          <w:szCs w:val="24"/>
        </w:rPr>
      </w:pPr>
    </w:p>
    <w:p w:rsidR="003B208B" w:rsidRDefault="003B208B">
      <w:pPr>
        <w:rPr>
          <w:rFonts w:ascii="CG Times" w:hAnsi="CG Times"/>
        </w:rPr>
      </w:pPr>
    </w:p>
    <w:p w:rsidR="003B208B" w:rsidRDefault="003B208B">
      <w:pPr>
        <w:rPr>
          <w:rFonts w:ascii="CG Times" w:hAnsi="CG Times"/>
        </w:rPr>
      </w:pPr>
    </w:p>
    <w:p w:rsidR="003B208B" w:rsidRDefault="0094448A" w:rsidP="009A6C49">
      <w:pPr>
        <w:pStyle w:val="Heading1"/>
        <w:ind w:right="-231"/>
        <w:jc w:val="left"/>
        <w:rPr>
          <w:sz w:val="24"/>
          <w:szCs w:val="24"/>
        </w:rPr>
      </w:pPr>
      <w:r>
        <w:rPr>
          <w:rFonts w:cs="CG Times"/>
          <w:sz w:val="24"/>
          <w:szCs w:val="28"/>
        </w:rPr>
        <w:t>Table</w:t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</w:r>
      <w:r w:rsidR="009A6C49">
        <w:rPr>
          <w:rFonts w:cs="CG Times"/>
          <w:sz w:val="24"/>
          <w:szCs w:val="28"/>
        </w:rPr>
        <w:tab/>
        <w:t xml:space="preserve">  </w:t>
      </w:r>
      <w:r w:rsidR="003B208B" w:rsidRPr="009A6C49">
        <w:rPr>
          <w:sz w:val="24"/>
          <w:szCs w:val="24"/>
        </w:rPr>
        <w:t xml:space="preserve">Page </w:t>
      </w:r>
    </w:p>
    <w:p w:rsidR="002B6F79" w:rsidRPr="002B6F79" w:rsidRDefault="002B6F79" w:rsidP="002B6F79"/>
    <w:tbl>
      <w:tblPr>
        <w:tblW w:w="8737" w:type="dxa"/>
        <w:tblLayout w:type="fixed"/>
        <w:tblLook w:val="0000" w:firstRow="0" w:lastRow="0" w:firstColumn="0" w:lastColumn="0" w:noHBand="0" w:noVBand="0"/>
      </w:tblPr>
      <w:tblGrid>
        <w:gridCol w:w="1008"/>
        <w:gridCol w:w="7020"/>
        <w:gridCol w:w="709"/>
      </w:tblGrid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jc w:val="both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3.1.</w:t>
            </w:r>
          </w:p>
        </w:tc>
        <w:tc>
          <w:tcPr>
            <w:tcW w:w="7020" w:type="dxa"/>
          </w:tcPr>
          <w:p w:rsidR="003B208B" w:rsidRPr="00532F0E" w:rsidRDefault="003B208B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>Statistical results with ranges of significant and related variables for the general models</w:t>
            </w:r>
            <w:r w:rsidRPr="00532F0E">
              <w:rPr>
                <w:rFonts w:ascii="CG Times" w:hAnsi="CG Times"/>
              </w:rPr>
              <w:fldChar w:fldCharType="end"/>
            </w:r>
            <w:r w:rsidR="00532F0E" w:rsidRPr="00532F0E">
              <w:rPr>
                <w:rFonts w:ascii="CG Times" w:hAnsi="CG Times" w:cs="CG Times"/>
              </w:rPr>
              <w:t>..........................</w:t>
            </w:r>
            <w:r w:rsidR="00532F0E">
              <w:rPr>
                <w:rFonts w:ascii="CG Times" w:hAnsi="CG Times" w:cs="CG Times"/>
              </w:rPr>
              <w:t>.............................</w:t>
            </w:r>
            <w:r w:rsidR="00532F0E" w:rsidRPr="00532F0E">
              <w:rPr>
                <w:rFonts w:ascii="CG Times" w:hAnsi="CG Times" w:cs="CG Times"/>
              </w:rPr>
              <w:t>.......</w:t>
            </w:r>
          </w:p>
        </w:tc>
        <w:tc>
          <w:tcPr>
            <w:tcW w:w="709" w:type="dxa"/>
          </w:tcPr>
          <w:p w:rsidR="00532F0E" w:rsidRP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</w:pPr>
            <w:r w:rsidRPr="00532F0E">
              <w:rPr>
                <w:rFonts w:ascii="CG Times" w:hAnsi="CG Times"/>
              </w:rPr>
              <w:t>8</w:t>
            </w:r>
          </w:p>
        </w:tc>
      </w:tr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jc w:val="both"/>
              <w:rPr>
                <w:rFonts w:ascii="CG Times" w:hAnsi="CG Times" w:cs="CG Times"/>
              </w:rPr>
            </w:pPr>
            <w:r w:rsidRPr="00532F0E">
              <w:rPr>
                <w:rFonts w:ascii="CG Times" w:hAnsi="CG Times" w:cs="CG Times"/>
              </w:rPr>
              <w:t>3.2.</w:t>
            </w:r>
          </w:p>
        </w:tc>
        <w:tc>
          <w:tcPr>
            <w:tcW w:w="7020" w:type="dxa"/>
          </w:tcPr>
          <w:p w:rsidR="003B208B" w:rsidRPr="00532F0E" w:rsidRDefault="003B208B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>Statistical results with ranges of significant and related variables for the individual aggregate models</w:t>
            </w:r>
            <w:r w:rsidRPr="00532F0E">
              <w:rPr>
                <w:rFonts w:ascii="CG Times" w:hAnsi="CG Times"/>
              </w:rPr>
              <w:fldChar w:fldCharType="end"/>
            </w:r>
            <w:r w:rsidR="00532F0E" w:rsidRPr="00532F0E">
              <w:rPr>
                <w:rFonts w:ascii="CG Times" w:hAnsi="CG Times" w:cs="CG Times"/>
              </w:rPr>
              <w:t>...............</w:t>
            </w:r>
            <w:r w:rsidR="00532F0E">
              <w:rPr>
                <w:rFonts w:ascii="CG Times" w:hAnsi="CG Times" w:cs="CG Times"/>
              </w:rPr>
              <w:t>.......................</w:t>
            </w:r>
            <w:r w:rsidR="00532F0E" w:rsidRPr="00532F0E">
              <w:rPr>
                <w:rFonts w:ascii="CG Times" w:hAnsi="CG Times" w:cs="CG Times"/>
              </w:rPr>
              <w:t>........</w:t>
            </w:r>
          </w:p>
        </w:tc>
        <w:tc>
          <w:tcPr>
            <w:tcW w:w="709" w:type="dxa"/>
          </w:tcPr>
          <w:p w:rsid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20</w:t>
            </w:r>
          </w:p>
        </w:tc>
      </w:tr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jc w:val="both"/>
              <w:rPr>
                <w:rFonts w:ascii="CG Times" w:hAnsi="CG Times" w:cs="CG Times"/>
              </w:rPr>
            </w:pPr>
            <w:r w:rsidRPr="00532F0E">
              <w:rPr>
                <w:rFonts w:ascii="CG Times" w:hAnsi="CG Times" w:cs="CG Times"/>
              </w:rPr>
              <w:t>5.1.</w:t>
            </w:r>
          </w:p>
        </w:tc>
        <w:tc>
          <w:tcPr>
            <w:tcW w:w="7020" w:type="dxa"/>
          </w:tcPr>
          <w:p w:rsidR="003B208B" w:rsidRPr="00532F0E" w:rsidRDefault="003B208B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>Three-variable general model: polish value (PV) limits for sound aggregates placed in the warm region</w:t>
            </w:r>
            <w:r w:rsidRPr="00532F0E">
              <w:rPr>
                <w:rFonts w:ascii="CG Times" w:hAnsi="CG Times"/>
              </w:rPr>
              <w:fldChar w:fldCharType="end"/>
            </w:r>
            <w:r w:rsidR="00532F0E">
              <w:rPr>
                <w:rFonts w:ascii="CG Times" w:hAnsi="CG Times"/>
              </w:rPr>
              <w:t>.......................................</w:t>
            </w:r>
          </w:p>
        </w:tc>
        <w:tc>
          <w:tcPr>
            <w:tcW w:w="709" w:type="dxa"/>
          </w:tcPr>
          <w:p w:rsid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52</w:t>
            </w:r>
          </w:p>
        </w:tc>
      </w:tr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jc w:val="both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5.2.</w:t>
            </w:r>
          </w:p>
        </w:tc>
        <w:tc>
          <w:tcPr>
            <w:tcW w:w="7020" w:type="dxa"/>
          </w:tcPr>
          <w:p w:rsidR="003B208B" w:rsidRPr="00532F0E" w:rsidRDefault="003B208B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 xml:space="preserve">Three-variable general model: polish value (PV) limits for sound aggregates placed in the cold region </w:t>
            </w:r>
            <w:r w:rsidR="00532F0E" w:rsidRPr="00532F0E">
              <w:rPr>
                <w:rFonts w:ascii="CG Times" w:hAnsi="CG Times"/>
              </w:rPr>
              <w:t>.................................</w:t>
            </w:r>
            <w:r w:rsidRPr="00532F0E">
              <w:rPr>
                <w:rFonts w:ascii="CG Times" w:hAnsi="CG Times"/>
              </w:rPr>
              <w:fldChar w:fldCharType="end"/>
            </w:r>
            <w:r w:rsidR="00532F0E">
              <w:rPr>
                <w:rFonts w:ascii="CG Times" w:hAnsi="CG Times"/>
              </w:rPr>
              <w:t>......</w:t>
            </w:r>
            <w:r w:rsidR="00532F0E" w:rsidRPr="00532F0E">
              <w:rPr>
                <w:rFonts w:ascii="CG Times" w:hAnsi="CG Times" w:cs="CG Times"/>
              </w:rPr>
              <w:t>.</w:t>
            </w:r>
          </w:p>
        </w:tc>
        <w:tc>
          <w:tcPr>
            <w:tcW w:w="709" w:type="dxa"/>
          </w:tcPr>
          <w:p w:rsid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60</w:t>
            </w:r>
          </w:p>
        </w:tc>
      </w:tr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jc w:val="both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5.3.</w:t>
            </w:r>
          </w:p>
        </w:tc>
        <w:tc>
          <w:tcPr>
            <w:tcW w:w="7020" w:type="dxa"/>
          </w:tcPr>
          <w:p w:rsidR="003B208B" w:rsidRPr="00532F0E" w:rsidRDefault="003B208B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>Three-variable general model: ag</w:t>
            </w:r>
            <w:r w:rsidR="00532F0E" w:rsidRPr="00532F0E">
              <w:rPr>
                <w:rFonts w:ascii="CG Times" w:hAnsi="CG Times"/>
              </w:rPr>
              <w:t xml:space="preserve">gregates with varying soundness </w:t>
            </w:r>
            <w:r w:rsidRPr="00532F0E">
              <w:rPr>
                <w:rFonts w:ascii="CG Times" w:hAnsi="CG Times"/>
              </w:rPr>
              <w:t>losses placed in the warm region</w:t>
            </w:r>
            <w:r w:rsidRPr="00532F0E">
              <w:rPr>
                <w:rFonts w:ascii="CG Times" w:hAnsi="CG Times"/>
              </w:rPr>
              <w:fldChar w:fldCharType="end"/>
            </w:r>
            <w:r w:rsidR="00532F0E">
              <w:rPr>
                <w:rFonts w:ascii="CG Times" w:hAnsi="CG Times" w:cs="CG Times"/>
              </w:rPr>
              <w:t>.............................................</w:t>
            </w:r>
          </w:p>
        </w:tc>
        <w:tc>
          <w:tcPr>
            <w:tcW w:w="709" w:type="dxa"/>
          </w:tcPr>
          <w:p w:rsid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73</w:t>
            </w:r>
          </w:p>
        </w:tc>
      </w:tr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jc w:val="both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5.4.</w:t>
            </w:r>
          </w:p>
        </w:tc>
        <w:tc>
          <w:tcPr>
            <w:tcW w:w="7020" w:type="dxa"/>
          </w:tcPr>
          <w:p w:rsidR="003B208B" w:rsidRPr="00532F0E" w:rsidRDefault="00532F0E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 xml:space="preserve">Three-variable general model: aggregates with varying soundness losses placed in the </w:t>
            </w:r>
            <w:r>
              <w:rPr>
                <w:rFonts w:ascii="CG Times" w:hAnsi="CG Times"/>
              </w:rPr>
              <w:t xml:space="preserve">cold </w:t>
            </w:r>
            <w:r w:rsidRPr="00532F0E">
              <w:rPr>
                <w:rFonts w:ascii="CG Times" w:hAnsi="CG Times"/>
              </w:rPr>
              <w:t>region</w:t>
            </w:r>
            <w:r w:rsidRPr="00532F0E">
              <w:rPr>
                <w:rFonts w:ascii="CG Times" w:hAnsi="CG Times"/>
              </w:rPr>
              <w:fldChar w:fldCharType="end"/>
            </w:r>
            <w:r>
              <w:rPr>
                <w:rFonts w:ascii="CG Times" w:hAnsi="CG Times" w:cs="CG Times"/>
              </w:rPr>
              <w:t>...............................................</w:t>
            </w:r>
          </w:p>
        </w:tc>
        <w:tc>
          <w:tcPr>
            <w:tcW w:w="709" w:type="dxa"/>
          </w:tcPr>
          <w:p w:rsid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103</w:t>
            </w:r>
          </w:p>
        </w:tc>
      </w:tr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jc w:val="both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5.5.</w:t>
            </w:r>
          </w:p>
        </w:tc>
        <w:tc>
          <w:tcPr>
            <w:tcW w:w="7020" w:type="dxa"/>
          </w:tcPr>
          <w:p w:rsidR="003B208B" w:rsidRPr="00532F0E" w:rsidRDefault="003B208B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>Three-variable with INRD model: INRD, PV, and LA limits for aggregates placed in the warm region</w:t>
            </w:r>
            <w:r w:rsidRPr="00532F0E">
              <w:rPr>
                <w:rFonts w:ascii="CG Times" w:hAnsi="CG Times"/>
              </w:rPr>
              <w:fldChar w:fldCharType="end"/>
            </w:r>
            <w:r w:rsidR="00532F0E">
              <w:rPr>
                <w:rFonts w:ascii="CG Times" w:hAnsi="CG Times" w:cs="CG Times"/>
              </w:rPr>
              <w:t>.......................................</w:t>
            </w:r>
          </w:p>
        </w:tc>
        <w:tc>
          <w:tcPr>
            <w:tcW w:w="709" w:type="dxa"/>
          </w:tcPr>
          <w:p w:rsid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109</w:t>
            </w:r>
          </w:p>
        </w:tc>
      </w:tr>
      <w:tr w:rsidR="003B208B">
        <w:trPr>
          <w:trHeight w:val="709"/>
        </w:trPr>
        <w:tc>
          <w:tcPr>
            <w:tcW w:w="1008" w:type="dxa"/>
          </w:tcPr>
          <w:p w:rsidR="003B208B" w:rsidRPr="00532F0E" w:rsidRDefault="003B208B" w:rsidP="006B1279">
            <w:pPr>
              <w:ind w:left="-180" w:firstLine="152"/>
              <w:jc w:val="both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5.6.</w:t>
            </w:r>
          </w:p>
        </w:tc>
        <w:tc>
          <w:tcPr>
            <w:tcW w:w="7020" w:type="dxa"/>
          </w:tcPr>
          <w:p w:rsidR="003B208B" w:rsidRPr="00532F0E" w:rsidRDefault="003B208B" w:rsidP="00532F0E">
            <w:pPr>
              <w:rPr>
                <w:rFonts w:ascii="CG Times" w:hAnsi="CG Times" w:cs="CG Times"/>
              </w:rPr>
            </w:pPr>
            <w:r w:rsidRPr="00532F0E">
              <w:rPr>
                <w:rFonts w:ascii="CG Times" w:hAnsi="CG Times"/>
              </w:rPr>
              <w:t>Three-variable with INRD model: INRD, PV, and LA limits for aggregates</w:t>
            </w:r>
            <w:r w:rsidRPr="00532F0E">
              <w:rPr>
                <w:rFonts w:ascii="CG Times" w:hAnsi="CG Times"/>
              </w:rPr>
              <w:fldChar w:fldCharType="begin"/>
            </w:r>
            <w:r w:rsidRPr="00532F0E">
              <w:rPr>
                <w:rFonts w:ascii="CG Times" w:hAnsi="CG Times"/>
              </w:rPr>
              <w:instrText xml:space="preserve"> TOC \o "1-1" </w:instrText>
            </w:r>
            <w:r w:rsidRPr="00532F0E">
              <w:rPr>
                <w:rFonts w:ascii="CG Times" w:hAnsi="CG Times"/>
              </w:rPr>
              <w:fldChar w:fldCharType="separate"/>
            </w:r>
            <w:r w:rsidRPr="00532F0E">
              <w:rPr>
                <w:rFonts w:ascii="CG Times" w:hAnsi="CG Times"/>
              </w:rPr>
              <w:t xml:space="preserve"> placed in the cold region</w:t>
            </w:r>
            <w:r w:rsidRPr="00532F0E">
              <w:rPr>
                <w:rFonts w:ascii="CG Times" w:hAnsi="CG Times"/>
              </w:rPr>
              <w:fldChar w:fldCharType="end"/>
            </w:r>
            <w:r w:rsidR="00532F0E">
              <w:rPr>
                <w:rFonts w:ascii="CG Times" w:hAnsi="CG Times" w:cs="CG Times"/>
              </w:rPr>
              <w:t>.........................................</w:t>
            </w:r>
          </w:p>
        </w:tc>
        <w:tc>
          <w:tcPr>
            <w:tcW w:w="709" w:type="dxa"/>
          </w:tcPr>
          <w:p w:rsidR="00532F0E" w:rsidRDefault="00532F0E" w:rsidP="006B1279">
            <w:pPr>
              <w:jc w:val="right"/>
              <w:rPr>
                <w:rFonts w:ascii="CG Times" w:hAnsi="CG Times"/>
              </w:rPr>
            </w:pPr>
          </w:p>
          <w:p w:rsidR="003B208B" w:rsidRPr="00532F0E" w:rsidRDefault="003B208B" w:rsidP="006B1279">
            <w:pPr>
              <w:jc w:val="right"/>
              <w:rPr>
                <w:rFonts w:ascii="CG Times" w:hAnsi="CG Times"/>
              </w:rPr>
            </w:pPr>
            <w:r w:rsidRPr="00532F0E">
              <w:rPr>
                <w:rFonts w:ascii="CG Times" w:hAnsi="CG Times"/>
              </w:rPr>
              <w:t>129</w:t>
            </w:r>
          </w:p>
        </w:tc>
      </w:tr>
    </w:tbl>
    <w:p w:rsidR="003B208B" w:rsidRDefault="003B208B">
      <w:pPr>
        <w:rPr>
          <w:rFonts w:ascii="CG Times" w:cs="CG Times"/>
          <w:sz w:val="26"/>
          <w:szCs w:val="31"/>
        </w:rPr>
      </w:pPr>
    </w:p>
    <w:p w:rsidR="003B208B" w:rsidRDefault="003B208B">
      <w:pPr>
        <w:rPr>
          <w:rFonts w:cs="Traditional Arabic"/>
          <w:szCs w:val="28"/>
        </w:rPr>
      </w:pPr>
    </w:p>
    <w:p w:rsidR="003B208B" w:rsidRDefault="003B208B"/>
    <w:sectPr w:rsidR="003B208B" w:rsidSect="00532F0E">
      <w:pgSz w:w="11906" w:h="16838" w:code="9"/>
      <w:pgMar w:top="567" w:right="1418" w:bottom="567" w:left="1985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D3"/>
    <w:rsid w:val="0023676C"/>
    <w:rsid w:val="002B6F79"/>
    <w:rsid w:val="003B208B"/>
    <w:rsid w:val="00532F0E"/>
    <w:rsid w:val="0056391B"/>
    <w:rsid w:val="006B1279"/>
    <w:rsid w:val="0094448A"/>
    <w:rsid w:val="009A6C49"/>
    <w:rsid w:val="00B87F10"/>
    <w:rsid w:val="00CB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ascii="CG Times" w:hAnsi="CG Times" w:cs="Traditional Arabic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cs="Traditional Arabic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right" w:leader="dot" w:pos="9063"/>
        <w:tab w:val="right" w:leader="dot" w:pos="9347"/>
      </w:tabs>
      <w:ind w:left="-108" w:right="-108"/>
    </w:pPr>
    <w:rPr>
      <w:rFonts w:ascii="CG Times" w:hAnsi="CG Times"/>
      <w:sz w:val="28"/>
      <w:szCs w:val="28"/>
    </w:rPr>
  </w:style>
  <w:style w:type="paragraph" w:styleId="Header">
    <w:name w:val="header"/>
    <w:basedOn w:val="Normal"/>
    <w:link w:val="HeaderChar"/>
    <w:uiPriority w:val="99"/>
    <w:rsid w:val="00532F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532F0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ascii="CG Times" w:hAnsi="CG Times" w:cs="Traditional Arabic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cs="Traditional Arabic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right" w:leader="dot" w:pos="9063"/>
        <w:tab w:val="right" w:leader="dot" w:pos="9347"/>
      </w:tabs>
      <w:ind w:left="-108" w:right="-108"/>
    </w:pPr>
    <w:rPr>
      <w:rFonts w:ascii="CG Times" w:hAnsi="CG Times"/>
      <w:sz w:val="28"/>
      <w:szCs w:val="28"/>
    </w:rPr>
  </w:style>
  <w:style w:type="paragraph" w:styleId="Header">
    <w:name w:val="header"/>
    <w:basedOn w:val="Normal"/>
    <w:link w:val="HeaderChar"/>
    <w:uiPriority w:val="99"/>
    <w:rsid w:val="00532F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532F0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Preferred Customer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camelia</dc:creator>
  <cp:lastModifiedBy>Matheus Goosen</cp:lastModifiedBy>
  <cp:revision>2</cp:revision>
  <dcterms:created xsi:type="dcterms:W3CDTF">2014-08-21T10:20:00Z</dcterms:created>
  <dcterms:modified xsi:type="dcterms:W3CDTF">2014-08-21T10:20:00Z</dcterms:modified>
</cp:coreProperties>
</file>